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49"/>
        <w:ind w:left="0" w:right="0" w:firstLine="0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Uporedna analiza ekonomske aktivnosti žena u Novom Pazaru, Čačku i Kraljevu</w:t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zaposlenosti žena u gradovima Novi Pazar, Čačak i Kraljevo zasniva se na uporedivim podacima o broju žena u različitim starosnim grupama i njihovoj zaposlenosti. Cilj analize je identifikacija trendova, izazova i potencijalnih mera za poboljšanje 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konomske aktivnosti žena u ovim gradovima.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Analiza je rađena na osnovu podataka Republičkog zavoda za startistiku koji su dostupni u delu baze Stanovništvo prema ekonomskoj aktivnosti, starosti i polu na linku: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hyperlink r:id="rId11" w:tooltip="https://data.stat.gov.rs/Home/Result/3104020801?languageCode=sr-Latn" w:history="1">
        <w:r>
          <w:rPr>
            <w:rStyle w:val="907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https://data.stat.gov.rs/Home/Result/3104020801?languageCode=sr-Latn</w:t>
        </w:r>
        <w:r>
          <w:rPr>
            <w:rStyle w:val="907"/>
            <w:rFonts w:ascii="Times New Roman" w:hAnsi="Times New Roman" w:eastAsia="Times New Roman" w:cs="Times New Roman"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/>
      <w:r/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pStyle w:val="751"/>
        <w:ind w:left="0" w:right="0" w:firstLine="0"/>
        <w:spacing w:before="299" w:after="299"/>
        <w:rPr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</w:rPr>
        <w:t xml:space="preserve">Tabela: Uporedni pregled zaposlenosti žena po starosnim grupama (Novi Pazar, Čačak, Kraljevo)</w:t>
      </w:r>
      <w:r>
        <w:rPr>
          <w:b w:val="0"/>
          <w:bCs w:val="0"/>
          <w:sz w:val="24"/>
          <w:szCs w:val="24"/>
        </w:rPr>
      </w:r>
    </w:p>
    <w:tbl>
      <w:tblPr>
        <w:tblStyle w:val="78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42"/>
        <w:gridCol w:w="2339"/>
        <w:gridCol w:w="2083"/>
        <w:gridCol w:w="399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Grad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Ukupan broj žena (20–65)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Zaposlene žene (20–65)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% zaposlenih u odnosu na ukupan broj žena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Novi Pazar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31.700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8.238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26,00%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Čačak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32.387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14.935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46,14%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42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Kraljevo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39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33.191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14.607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90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44,00%</w:t>
            </w:r>
            <w:r/>
          </w:p>
        </w:tc>
      </w:tr>
    </w:tbl>
    <w:p>
      <w:pPr>
        <w:pStyle w:val="751"/>
        <w:ind w:left="0" w:right="0" w:firstLine="0"/>
        <w:jc w:val="center"/>
        <w:spacing w:before="299" w:after="299"/>
        <w:rPr>
          <w:rFonts w:ascii="Times New Roman" w:hAnsi="Times New Roman" w:eastAsia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558790" cy="281885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311430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4558789" cy="28188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59.0pt;height:222.0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751"/>
        <w:ind w:left="0" w:right="0" w:firstLine="0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ukupne zaposlenosti žena (20–65 godina)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Najviša zaposlenost žena je u Čačku (46,14%)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je nešto niža u Kraljevu (44,00%). Ova dva grada imaju znatno bolju situaciju u odnosu na Novi Pazar, gde je zaposleno samo 26,00% žena iz ove starosne kategorije.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 zaostaje u pogledu zaposlenosti žena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može biti posledica:</w:t>
      </w:r>
      <w:r/>
    </w:p>
    <w:p>
      <w:pPr>
        <w:pStyle w:val="929"/>
        <w:numPr>
          <w:ilvl w:val="0"/>
          <w:numId w:val="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Manjih mogućnosti za zapošljavanje žena u privatnom sektoru.</w:t>
      </w:r>
      <w:r/>
    </w:p>
    <w:p>
      <w:pPr>
        <w:pStyle w:val="929"/>
        <w:numPr>
          <w:ilvl w:val="0"/>
          <w:numId w:val="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Tradicionalnih kulturnih normi koje ograničavaju ekonomsko učešće žena.</w:t>
      </w:r>
      <w:r/>
    </w:p>
    <w:p>
      <w:pPr>
        <w:pStyle w:val="929"/>
        <w:numPr>
          <w:ilvl w:val="0"/>
          <w:numId w:val="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Veće stope neaktivnog stanovništva koje se bavi neplaćenim kućnim poslovima.</w:t>
      </w:r>
      <w:r/>
    </w:p>
    <w:p>
      <w:pPr>
        <w:ind w:left="709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 i Kraljevo beleže značajno bolje rezultate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zahvaljujući:</w:t>
      </w:r>
      <w:r/>
    </w:p>
    <w:p>
      <w:pPr>
        <w:pStyle w:val="929"/>
        <w:numPr>
          <w:ilvl w:val="0"/>
          <w:numId w:val="7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Razvijenijoj industriji i javnom sektoru koji pruža veći broj radnih mesta za žene.</w:t>
      </w:r>
      <w:r/>
    </w:p>
    <w:p>
      <w:pPr>
        <w:pStyle w:val="929"/>
        <w:numPr>
          <w:ilvl w:val="0"/>
          <w:numId w:val="8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Boljem obrazovnom profilu žena i većoj orijentaciji ka formalnom zapošljavanju.</w:t>
      </w:r>
      <w:r/>
    </w:p>
    <w:p>
      <w:pPr>
        <w:pStyle w:val="929"/>
        <w:numPr>
          <w:ilvl w:val="0"/>
          <w:numId w:val="9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Većoj inkluziji žena u sektorima kao što su zdravstvo, obrazovanje i uslužne delatnosti.</w:t>
      </w:r>
      <w:r/>
    </w:p>
    <w:p>
      <w:pPr>
        <w:pStyle w:val="751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Uporedna analiza zaposlenosti žena po starosnim grupama</w:t>
      </w:r>
      <w:r/>
    </w:p>
    <w:tbl>
      <w:tblPr>
        <w:tblStyle w:val="781"/>
        <w:tblW w:w="0" w:type="auto"/>
        <w:jc w:val="center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81"/>
        <w:gridCol w:w="2593"/>
        <w:gridCol w:w="2104"/>
        <w:gridCol w:w="23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Starosna grupa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Novi Pazar (Zaposlenost)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Čačak (Zaposlenost)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</w:rPr>
              <w:t xml:space="preserve">Kraljevo (Zaposlenost)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20–24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11,73%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28,14%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29,32%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25–29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25,31%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42,89%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45,00%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30–49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32,99%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50,22%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48,25%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50–59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24,55%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37,21%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35,46%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8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60–64 godina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9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14,37%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0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22,15%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3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57" w:lineRule="atLeast"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21,27%</w:t>
            </w:r>
            <w:r/>
          </w:p>
        </w:tc>
      </w:tr>
    </w:tbl>
    <w:p>
      <w:pPr>
        <w:pStyle w:val="751"/>
        <w:ind w:left="0" w:right="0" w:firstLine="0"/>
        <w:jc w:val="center"/>
        <w:spacing w:before="299" w:after="299"/>
        <w:rPr>
          <w:rFonts w:ascii="Times New Roman" w:hAnsi="Times New Roman" w:eastAsia="Times New Roman" w:cs="Times New Roman"/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388315" cy="3331774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070107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5388314" cy="3331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24.3pt;height:262.3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</w:p>
    <w:p>
      <w:pPr>
        <w:pStyle w:val="751"/>
        <w:ind w:left="0" w:right="0" w:firstLine="0"/>
        <w:spacing w:before="299" w:after="299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Analiza po starosnim grupama</w:t>
      </w:r>
      <w:r/>
    </w:p>
    <w:p>
      <w:pPr>
        <w:pStyle w:val="75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Zaposlenost mladih žena (20–29 godina):</w:t>
      </w:r>
      <w:r/>
    </w:p>
    <w:p>
      <w:pPr>
        <w:pStyle w:val="929"/>
        <w:numPr>
          <w:ilvl w:val="0"/>
          <w:numId w:val="1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 i Kraljevo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imaju znatno veći procenat zaposlenih žena u ovoj starosnoj grupi (28–45%), što ukazuje na bolju priliku za mlade žene da pronađu posao nakon završetka školovanja.</w:t>
      </w:r>
      <w:r/>
    </w:p>
    <w:p>
      <w:pPr>
        <w:pStyle w:val="929"/>
        <w:numPr>
          <w:ilvl w:val="0"/>
          <w:numId w:val="1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zaostaje sa značajno nižom stopom zaposlenosti mladih žena (11,73% u grupi 20–24 i 25,31% u grupi 25–29), što može ukazivati na probleme u usklađenosti obrazovnog sistema sa potrebama tržišta rada i manjim brojem mogućnosti za zapošljavanje.</w:t>
      </w:r>
      <w:r/>
    </w:p>
    <w:p>
      <w:pPr>
        <w:pStyle w:val="75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Zaposlenost žena u srednjem radnom dobu (30–49 godina):</w:t>
      </w:r>
      <w:r/>
    </w:p>
    <w:p>
      <w:pPr>
        <w:pStyle w:val="929"/>
        <w:numPr>
          <w:ilvl w:val="0"/>
          <w:numId w:val="12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 (50,22%) i Kraljevo (48,25%)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pokazuju stabilnu zaposlenost žena u ovom periodu života, gde žene dostižu vrhunac svoje radne karijere.</w:t>
      </w:r>
      <w:r/>
    </w:p>
    <w:p>
      <w:pPr>
        <w:pStyle w:val="929"/>
        <w:numPr>
          <w:ilvl w:val="0"/>
          <w:numId w:val="13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 (32,99%)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beleži značajno nižu stopu zaposlenosti, što može biti rezultat ograničenih mogućnosti za profesionalno usavršavanje i napredovanje žena.</w:t>
      </w:r>
      <w:r/>
    </w:p>
    <w:p>
      <w:pPr>
        <w:pStyle w:val="75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Zaposlenost starijih žena (50–64 godine):</w:t>
      </w:r>
      <w:r/>
    </w:p>
    <w:p>
      <w:pPr>
        <w:pStyle w:val="929"/>
        <w:numPr>
          <w:ilvl w:val="0"/>
          <w:numId w:val="14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 i Kraljevo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imaju relativno dobru zaposlenost žena u ovoj kategoriji (22–37%), što ukazuje na postojanje stabilnih radnih mesta za žene u srednjem i kasnijem radnom dobu.</w:t>
      </w:r>
      <w:r/>
    </w:p>
    <w:p>
      <w:pPr>
        <w:pStyle w:val="929"/>
        <w:numPr>
          <w:ilvl w:val="0"/>
          <w:numId w:val="15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ponovo zaostaje (14,37%), što ukazuje na teži pristup zapošljavanju za starije žene i nedostatak prilika za reprofesionalizaciju.</w:t>
      </w:r>
      <w:r/>
    </w:p>
    <w:p>
      <w:pPr>
        <w:pStyle w:val="751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Glavni izazovi i mogućnosti za unapređenje zaposlenosti žena</w:t>
      </w:r>
      <w:r/>
    </w:p>
    <w:p>
      <w:pPr>
        <w:pStyle w:val="75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Izazovi:</w:t>
      </w:r>
      <w:r/>
    </w:p>
    <w:p>
      <w:pPr>
        <w:ind w:left="709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Visoka neaktivnost žena u Novom Pazaru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posebno među mlađim generacijama, zahteva povećanu podršku u vidu obuka, samozapošljavanja i podsticaja za zapošljavanje.</w:t>
      </w:r>
      <w:r/>
    </w:p>
    <w:p>
      <w:pPr>
        <w:ind w:left="709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Strukturne razlike u privredi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Novi Pazar nema dovoljno razvijene sektore koji tradicionalno zapošljavaju veći broj žena (uslužni sektor, obrazovanje, zdravstvo).</w:t>
      </w:r>
      <w:r/>
    </w:p>
    <w:p>
      <w:pPr>
        <w:ind w:left="709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Nedovoljna fleksibilnost tržišta rada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koja bi omogućila ženama bolje usklađivanje poslovnih i porodičnih obaveza.</w:t>
      </w:r>
      <w:r/>
    </w:p>
    <w:p>
      <w:pPr>
        <w:pStyle w:val="753"/>
        <w:ind w:left="0" w:right="0" w:firstLine="0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Mogućnosti:</w:t>
      </w:r>
      <w:r/>
    </w:p>
    <w:p>
      <w:pPr>
        <w:pStyle w:val="929"/>
        <w:numPr>
          <w:ilvl w:val="0"/>
          <w:numId w:val="3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Jačanje preduzetništva među ženama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kroz uvođenje subvencija i programa podrške za pokretanje biznisa.</w:t>
      </w:r>
      <w:r/>
    </w:p>
    <w:p>
      <w:pPr>
        <w:pStyle w:val="929"/>
        <w:numPr>
          <w:ilvl w:val="0"/>
          <w:numId w:val="3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sektora usluga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Novom Pazaru, kao što su turizam, ugostiteljstvo i obrazovanje, gde postoji veći potencijal za zapošljavanje žena.</w:t>
      </w:r>
      <w:r/>
    </w:p>
    <w:p>
      <w:pPr>
        <w:pStyle w:val="929"/>
        <w:numPr>
          <w:ilvl w:val="0"/>
          <w:numId w:val="3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Usklađivanje obrazovnih profila sa potrebama tržišta rada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svim gradovima, kako bi mlade žene imale veće šanse za zaposlenje u struci.</w:t>
      </w:r>
      <w:r/>
    </w:p>
    <w:p>
      <w:pPr>
        <w:pStyle w:val="929"/>
        <w:numPr>
          <w:ilvl w:val="0"/>
          <w:numId w:val="30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programa za prekvalifikaciju i dokvalifikaciju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kako bi se starijim ženama omogućio duži radni vek i veća zaposlenost.</w:t>
      </w:r>
      <w:r/>
    </w:p>
    <w:p>
      <w:pPr>
        <w:pStyle w:val="751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Zaključak</w:t>
      </w:r>
      <w:r/>
    </w:p>
    <w:p>
      <w:pPr>
        <w:pStyle w:val="929"/>
        <w:numPr>
          <w:ilvl w:val="0"/>
          <w:numId w:val="23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Novi Pazar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se suočava sa ozbiljnim izazovima u oblasti ekonomske aktivnosti žena, gde je stopa zaposlenosti znatno niža u odnosu na Čačak i Kraljevo. Fokus bi trebalo da bude na poboljšanju mogućnosti zapošljavanja za mlade žene i ženama u srednjem radnom dobu kroz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ciljana ulaganja i programe obuke.</w:t>
      </w:r>
      <w:r/>
    </w:p>
    <w:p>
      <w:pPr>
        <w:pStyle w:val="929"/>
        <w:numPr>
          <w:ilvl w:val="0"/>
          <w:numId w:val="24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Čačak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pokazuje najviše stope zaposlenosti u svim starosnim kategorijama, što ukazuje na povoljnije ekonomske uslove i bolje prilagođenost tržišta rada potrebama žena.</w:t>
      </w:r>
      <w:r/>
    </w:p>
    <w:p>
      <w:pPr>
        <w:pStyle w:val="929"/>
        <w:numPr>
          <w:ilvl w:val="0"/>
          <w:numId w:val="25"/>
        </w:numPr>
        <w:ind w:right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Kraljevo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beleži stabilne rezultate, sa sličnim trendovima kao u Čačku, ali i izazovima u povećanju zaposlenosti starijih žena i daljem unapređenju tržišta rada.</w:t>
      </w:r>
      <w:r/>
    </w:p>
    <w:p>
      <w:pPr>
        <w:pStyle w:val="751"/>
        <w:ind w:left="0" w:right="0" w:firstLine="0"/>
        <w:spacing w:before="299" w:after="299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</w:rPr>
        <w:t xml:space="preserve">Preporuke za unapređenje ekonomske aktivnosti žena u sva tri grada:</w:t>
      </w:r>
      <w:r/>
    </w:p>
    <w:p>
      <w:pPr>
        <w:pStyle w:val="929"/>
        <w:numPr>
          <w:ilvl w:val="0"/>
          <w:numId w:val="3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Podrška samozapošljavanju i preduzetništvu žena.</w:t>
      </w:r>
      <w:r/>
    </w:p>
    <w:p>
      <w:pPr>
        <w:pStyle w:val="929"/>
        <w:numPr>
          <w:ilvl w:val="0"/>
          <w:numId w:val="3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sektora usluga i kreativne industrije, gde žene tradicionalno imaju veću zastupljenost.</w:t>
      </w:r>
      <w:r/>
    </w:p>
    <w:p>
      <w:pPr>
        <w:pStyle w:val="929"/>
        <w:numPr>
          <w:ilvl w:val="0"/>
          <w:numId w:val="3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Povezivanje obrazovnih institucija sa privredom radi boljeg zapošljavanja mladih žena.</w:t>
      </w:r>
      <w:r/>
    </w:p>
    <w:p>
      <w:pPr>
        <w:pStyle w:val="929"/>
        <w:numPr>
          <w:ilvl w:val="0"/>
          <w:numId w:val="31"/>
        </w:numPr>
        <w:ind w:right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Kreiranje fleksibilnih radnih modela (rad od kuće, skraćeno radno vreme) kako bi se povećala ekonomska aktivnost žena.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 komparativna analiza ukazuje na potrebu za ciljanim politikama koje će poboljšati položaj žena na tržištu rada u sva tri grada, sa posebnim fokusom na Novi Pazar kao sredinu sa najvećim izazovima.</w:t>
      </w:r>
      <w:r/>
    </w:p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992" w:right="850" w:bottom="1134" w:left="1701" w:header="425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7"/>
      <w:jc w:val="right"/>
    </w:pPr>
    <w:fldSimple w:instr="PAGE \* MERGEFORMAT">
      <w:r>
        <w:t xml:space="preserve">1</w:t>
      </w:r>
    </w:fldSimple>
    <w:r/>
    <w:r/>
  </w:p>
  <w:p>
    <w:pPr>
      <w:pStyle w:val="77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59165" cy="176546"/>
              <wp:effectExtent l="0" t="0" r="0" b="0"/>
              <wp:docPr id="1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4938882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rcRect l="0" t="37655" r="0" b="39089"/>
                      <a:stretch/>
                    </pic:blipFill>
                    <pic:spPr bwMode="auto">
                      <a:xfrm flipH="0" flipV="0">
                        <a:off x="0" y="0"/>
                        <a:ext cx="759160" cy="1765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9.8pt;height:13.9pt;mso-wrap-distance-left:0.0pt;mso-wrap-distance-top:0.0pt;mso-wrap-distance-right:0.0pt;mso-wrap-distance-bottom:0.0pt;" stroked="false">
              <v:path textboxrect="0,0,0,0"/>
              <v:imagedata r:id="rId1" o:title=""/>
            </v:shape>
          </w:pict>
        </mc:Fallback>
      </mc:AlternateContent>
      <w:t xml:space="preserve">powered by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344574" cy="186575"/>
              <wp:effectExtent l="0" t="0" r="0" b="0"/>
              <wp:docPr id="2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7763003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rcRect l="17992" t="28202" r="17670" b="36962"/>
                      <a:stretch/>
                    </pic:blipFill>
                    <pic:spPr bwMode="auto">
                      <a:xfrm flipH="0" flipV="0">
                        <a:off x="0" y="0"/>
                        <a:ext cx="344574" cy="186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7.1pt;height:14.7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>
    <w:name w:val="Heading 1"/>
    <w:basedOn w:val="925"/>
    <w:next w:val="925"/>
    <w:link w:val="7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0">
    <w:name w:val="Heading 1 Char"/>
    <w:link w:val="749"/>
    <w:uiPriority w:val="9"/>
    <w:rPr>
      <w:rFonts w:ascii="Arial" w:hAnsi="Arial" w:eastAsia="Arial" w:cs="Arial"/>
      <w:sz w:val="40"/>
      <w:szCs w:val="40"/>
    </w:rPr>
  </w:style>
  <w:style w:type="paragraph" w:styleId="751">
    <w:name w:val="Heading 2"/>
    <w:basedOn w:val="925"/>
    <w:next w:val="925"/>
    <w:link w:val="7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2">
    <w:name w:val="Heading 2 Char"/>
    <w:link w:val="751"/>
    <w:uiPriority w:val="9"/>
    <w:rPr>
      <w:rFonts w:ascii="Arial" w:hAnsi="Arial" w:eastAsia="Arial" w:cs="Arial"/>
      <w:sz w:val="34"/>
    </w:rPr>
  </w:style>
  <w:style w:type="paragraph" w:styleId="753">
    <w:name w:val="Heading 3"/>
    <w:basedOn w:val="925"/>
    <w:next w:val="925"/>
    <w:link w:val="7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4">
    <w:name w:val="Heading 3 Char"/>
    <w:link w:val="753"/>
    <w:uiPriority w:val="9"/>
    <w:rPr>
      <w:rFonts w:ascii="Arial" w:hAnsi="Arial" w:eastAsia="Arial" w:cs="Arial"/>
      <w:sz w:val="30"/>
      <w:szCs w:val="30"/>
    </w:rPr>
  </w:style>
  <w:style w:type="paragraph" w:styleId="755">
    <w:name w:val="Heading 4"/>
    <w:basedOn w:val="925"/>
    <w:next w:val="925"/>
    <w:link w:val="7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6">
    <w:name w:val="Heading 4 Char"/>
    <w:link w:val="755"/>
    <w:uiPriority w:val="9"/>
    <w:rPr>
      <w:rFonts w:ascii="Arial" w:hAnsi="Arial" w:eastAsia="Arial" w:cs="Arial"/>
      <w:b/>
      <w:bCs/>
      <w:sz w:val="26"/>
      <w:szCs w:val="26"/>
    </w:rPr>
  </w:style>
  <w:style w:type="paragraph" w:styleId="757">
    <w:name w:val="Heading 5"/>
    <w:basedOn w:val="925"/>
    <w:next w:val="925"/>
    <w:link w:val="7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8">
    <w:name w:val="Heading 5 Char"/>
    <w:link w:val="757"/>
    <w:uiPriority w:val="9"/>
    <w:rPr>
      <w:rFonts w:ascii="Arial" w:hAnsi="Arial" w:eastAsia="Arial" w:cs="Arial"/>
      <w:b/>
      <w:bCs/>
      <w:sz w:val="24"/>
      <w:szCs w:val="24"/>
    </w:rPr>
  </w:style>
  <w:style w:type="paragraph" w:styleId="759">
    <w:name w:val="Heading 6"/>
    <w:basedOn w:val="925"/>
    <w:next w:val="925"/>
    <w:link w:val="7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0">
    <w:name w:val="Heading 6 Char"/>
    <w:link w:val="759"/>
    <w:uiPriority w:val="9"/>
    <w:rPr>
      <w:rFonts w:ascii="Arial" w:hAnsi="Arial" w:eastAsia="Arial" w:cs="Arial"/>
      <w:b/>
      <w:bCs/>
      <w:sz w:val="22"/>
      <w:szCs w:val="22"/>
    </w:rPr>
  </w:style>
  <w:style w:type="paragraph" w:styleId="761">
    <w:name w:val="Heading 7"/>
    <w:basedOn w:val="925"/>
    <w:next w:val="925"/>
    <w:link w:val="7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2">
    <w:name w:val="Heading 7 Char"/>
    <w:link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925"/>
    <w:next w:val="925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4">
    <w:name w:val="Heading 8 Char"/>
    <w:link w:val="763"/>
    <w:uiPriority w:val="9"/>
    <w:rPr>
      <w:rFonts w:ascii="Arial" w:hAnsi="Arial" w:eastAsia="Arial" w:cs="Arial"/>
      <w:i/>
      <w:iCs/>
      <w:sz w:val="22"/>
      <w:szCs w:val="22"/>
    </w:rPr>
  </w:style>
  <w:style w:type="paragraph" w:styleId="765">
    <w:name w:val="Heading 9"/>
    <w:basedOn w:val="925"/>
    <w:next w:val="925"/>
    <w:link w:val="7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6">
    <w:name w:val="Heading 9 Char"/>
    <w:link w:val="765"/>
    <w:uiPriority w:val="9"/>
    <w:rPr>
      <w:rFonts w:ascii="Arial" w:hAnsi="Arial" w:eastAsia="Arial" w:cs="Arial"/>
      <w:i/>
      <w:iCs/>
      <w:sz w:val="21"/>
      <w:szCs w:val="21"/>
    </w:rPr>
  </w:style>
  <w:style w:type="paragraph" w:styleId="767">
    <w:name w:val="Title"/>
    <w:basedOn w:val="925"/>
    <w:next w:val="925"/>
    <w:link w:val="76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8">
    <w:name w:val="Title Char"/>
    <w:link w:val="767"/>
    <w:uiPriority w:val="10"/>
    <w:rPr>
      <w:sz w:val="48"/>
      <w:szCs w:val="48"/>
    </w:rPr>
  </w:style>
  <w:style w:type="paragraph" w:styleId="769">
    <w:name w:val="Subtitle"/>
    <w:basedOn w:val="925"/>
    <w:next w:val="925"/>
    <w:link w:val="770"/>
    <w:uiPriority w:val="11"/>
    <w:qFormat/>
    <w:pPr>
      <w:spacing w:before="200" w:after="200"/>
    </w:pPr>
    <w:rPr>
      <w:sz w:val="24"/>
      <w:szCs w:val="24"/>
    </w:rPr>
  </w:style>
  <w:style w:type="character" w:styleId="770">
    <w:name w:val="Subtitle Char"/>
    <w:link w:val="769"/>
    <w:uiPriority w:val="11"/>
    <w:rPr>
      <w:sz w:val="24"/>
      <w:szCs w:val="24"/>
    </w:rPr>
  </w:style>
  <w:style w:type="paragraph" w:styleId="771">
    <w:name w:val="Quote"/>
    <w:basedOn w:val="925"/>
    <w:next w:val="925"/>
    <w:link w:val="772"/>
    <w:uiPriority w:val="29"/>
    <w:qFormat/>
    <w:pPr>
      <w:ind w:left="720" w:right="720"/>
    </w:pPr>
    <w:rPr>
      <w:i/>
    </w:rPr>
  </w:style>
  <w:style w:type="character" w:styleId="772">
    <w:name w:val="Quote Char"/>
    <w:link w:val="771"/>
    <w:uiPriority w:val="29"/>
    <w:rPr>
      <w:i/>
    </w:rPr>
  </w:style>
  <w:style w:type="paragraph" w:styleId="773">
    <w:name w:val="Intense Quote"/>
    <w:basedOn w:val="925"/>
    <w:next w:val="925"/>
    <w:link w:val="77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4">
    <w:name w:val="Intense Quote Char"/>
    <w:link w:val="773"/>
    <w:uiPriority w:val="30"/>
    <w:rPr>
      <w:i/>
    </w:rPr>
  </w:style>
  <w:style w:type="paragraph" w:styleId="775">
    <w:name w:val="Header"/>
    <w:basedOn w:val="925"/>
    <w:link w:val="77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6">
    <w:name w:val="Header Char"/>
    <w:link w:val="775"/>
    <w:uiPriority w:val="99"/>
  </w:style>
  <w:style w:type="paragraph" w:styleId="777">
    <w:name w:val="Footer"/>
    <w:basedOn w:val="925"/>
    <w:link w:val="78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8">
    <w:name w:val="Footer Char"/>
    <w:link w:val="777"/>
    <w:uiPriority w:val="99"/>
  </w:style>
  <w:style w:type="paragraph" w:styleId="779">
    <w:name w:val="Caption"/>
    <w:basedOn w:val="925"/>
    <w:next w:val="9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0">
    <w:name w:val="Caption Char"/>
    <w:basedOn w:val="779"/>
    <w:link w:val="777"/>
    <w:uiPriority w:val="99"/>
  </w:style>
  <w:style w:type="table" w:styleId="781">
    <w:name w:val="Table Grid"/>
    <w:basedOn w:val="9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Table Grid Light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>
    <w:name w:val="Plain Table 1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2"/>
    <w:basedOn w:val="9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6">
    <w:name w:val="Plain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Plain Table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8">
    <w:name w:val="Grid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0">
    <w:name w:val="Grid Table 4 - Accent 1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1">
    <w:name w:val="Grid Table 4 - Accent 2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Grid Table 4 - Accent 3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3">
    <w:name w:val="Grid Table 4 - Accent 4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Grid Table 4 - Accent 5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5">
    <w:name w:val="Grid Table 4 - Accent 6"/>
    <w:basedOn w:val="9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6">
    <w:name w:val="Grid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23">
    <w:name w:val="Grid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4">
    <w:name w:val="Grid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5">
    <w:name w:val="Grid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6">
    <w:name w:val="Grid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7">
    <w:name w:val="Grid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8">
    <w:name w:val="Grid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0">
    <w:name w:val="Grid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5">
    <w:name w:val="List Table 2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6">
    <w:name w:val="List Table 2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7">
    <w:name w:val="List Table 2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8">
    <w:name w:val="List Table 2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9">
    <w:name w:val="List Table 2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0">
    <w:name w:val="List Table 2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1">
    <w:name w:val="List Table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5 Dark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6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3">
    <w:name w:val="List Table 6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4">
    <w:name w:val="List Table 6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List Table 6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6">
    <w:name w:val="List Table 6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List Table 6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8">
    <w:name w:val="List Table 6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9">
    <w:name w:val="List Table 7 Colorful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0">
    <w:name w:val="List Table 7 Colorful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81">
    <w:name w:val="List Table 7 Colorful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82">
    <w:name w:val="List Table 7 Colorful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83">
    <w:name w:val="List Table 7 Colorful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84">
    <w:name w:val="List Table 7 Colorful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85">
    <w:name w:val="List Table 7 Colorful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86">
    <w:name w:val="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7">
    <w:name w:val="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88">
    <w:name w:val="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89">
    <w:name w:val="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0">
    <w:name w:val="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1">
    <w:name w:val="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2">
    <w:name w:val="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93">
    <w:name w:val="Bordered &amp; Lined - Accent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4">
    <w:name w:val="Bordered &amp; Lined - Accent 1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95">
    <w:name w:val="Bordered &amp; Lined - Accent 2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6">
    <w:name w:val="Bordered &amp; Lined - Accent 3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7">
    <w:name w:val="Bordered &amp; Lined - Accent 4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8">
    <w:name w:val="Bordered &amp; Lined - Accent 5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99">
    <w:name w:val="Bordered &amp; Lined - Accent 6"/>
    <w:basedOn w:val="9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0">
    <w:name w:val="Bordered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1">
    <w:name w:val="Bordered - Accent 1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2">
    <w:name w:val="Bordered - Accent 2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3">
    <w:name w:val="Bordered - Accent 3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4">
    <w:name w:val="Bordered - Accent 4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5">
    <w:name w:val="Bordered - Accent 5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6">
    <w:name w:val="Bordered - Accent 6"/>
    <w:basedOn w:val="9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paragraph" w:styleId="908">
    <w:name w:val="footnote text"/>
    <w:basedOn w:val="925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Text Char"/>
    <w:link w:val="908"/>
    <w:uiPriority w:val="99"/>
    <w:rPr>
      <w:sz w:val="18"/>
    </w:rPr>
  </w:style>
  <w:style w:type="character" w:styleId="910">
    <w:name w:val="footnote reference"/>
    <w:uiPriority w:val="99"/>
    <w:unhideWhenUsed/>
    <w:rPr>
      <w:vertAlign w:val="superscript"/>
    </w:rPr>
  </w:style>
  <w:style w:type="paragraph" w:styleId="911">
    <w:name w:val="endnote text"/>
    <w:basedOn w:val="925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>
    <w:name w:val="Endnote Text Char"/>
    <w:link w:val="911"/>
    <w:uiPriority w:val="99"/>
    <w:rPr>
      <w:sz w:val="20"/>
    </w:rPr>
  </w:style>
  <w:style w:type="character" w:styleId="913">
    <w:name w:val="endnote reference"/>
    <w:uiPriority w:val="99"/>
    <w:semiHidden/>
    <w:unhideWhenUsed/>
    <w:rPr>
      <w:vertAlign w:val="superscript"/>
    </w:rPr>
  </w:style>
  <w:style w:type="paragraph" w:styleId="914">
    <w:name w:val="toc 1"/>
    <w:basedOn w:val="925"/>
    <w:next w:val="925"/>
    <w:uiPriority w:val="39"/>
    <w:unhideWhenUsed/>
    <w:pPr>
      <w:ind w:left="0" w:right="0" w:firstLine="0"/>
      <w:spacing w:after="57"/>
    </w:pPr>
  </w:style>
  <w:style w:type="paragraph" w:styleId="915">
    <w:name w:val="toc 2"/>
    <w:basedOn w:val="925"/>
    <w:next w:val="925"/>
    <w:uiPriority w:val="39"/>
    <w:unhideWhenUsed/>
    <w:pPr>
      <w:ind w:left="283" w:right="0" w:firstLine="0"/>
      <w:spacing w:after="57"/>
    </w:pPr>
  </w:style>
  <w:style w:type="paragraph" w:styleId="916">
    <w:name w:val="toc 3"/>
    <w:basedOn w:val="925"/>
    <w:next w:val="925"/>
    <w:uiPriority w:val="39"/>
    <w:unhideWhenUsed/>
    <w:pPr>
      <w:ind w:left="567" w:right="0" w:firstLine="0"/>
      <w:spacing w:after="57"/>
    </w:pPr>
  </w:style>
  <w:style w:type="paragraph" w:styleId="917">
    <w:name w:val="toc 4"/>
    <w:basedOn w:val="925"/>
    <w:next w:val="925"/>
    <w:uiPriority w:val="39"/>
    <w:unhideWhenUsed/>
    <w:pPr>
      <w:ind w:left="850" w:right="0" w:firstLine="0"/>
      <w:spacing w:after="57"/>
    </w:pPr>
  </w:style>
  <w:style w:type="paragraph" w:styleId="918">
    <w:name w:val="toc 5"/>
    <w:basedOn w:val="925"/>
    <w:next w:val="925"/>
    <w:uiPriority w:val="39"/>
    <w:unhideWhenUsed/>
    <w:pPr>
      <w:ind w:left="1134" w:right="0" w:firstLine="0"/>
      <w:spacing w:after="57"/>
    </w:pPr>
  </w:style>
  <w:style w:type="paragraph" w:styleId="919">
    <w:name w:val="toc 6"/>
    <w:basedOn w:val="925"/>
    <w:next w:val="925"/>
    <w:uiPriority w:val="39"/>
    <w:unhideWhenUsed/>
    <w:pPr>
      <w:ind w:left="1417" w:right="0" w:firstLine="0"/>
      <w:spacing w:after="57"/>
    </w:pPr>
  </w:style>
  <w:style w:type="paragraph" w:styleId="920">
    <w:name w:val="toc 7"/>
    <w:basedOn w:val="925"/>
    <w:next w:val="925"/>
    <w:uiPriority w:val="39"/>
    <w:unhideWhenUsed/>
    <w:pPr>
      <w:ind w:left="1701" w:right="0" w:firstLine="0"/>
      <w:spacing w:after="57"/>
    </w:pPr>
  </w:style>
  <w:style w:type="paragraph" w:styleId="921">
    <w:name w:val="toc 8"/>
    <w:basedOn w:val="925"/>
    <w:next w:val="925"/>
    <w:uiPriority w:val="39"/>
    <w:unhideWhenUsed/>
    <w:pPr>
      <w:ind w:left="1984" w:right="0" w:firstLine="0"/>
      <w:spacing w:after="57"/>
    </w:pPr>
  </w:style>
  <w:style w:type="paragraph" w:styleId="922">
    <w:name w:val="toc 9"/>
    <w:basedOn w:val="925"/>
    <w:next w:val="925"/>
    <w:uiPriority w:val="39"/>
    <w:unhideWhenUsed/>
    <w:pPr>
      <w:ind w:left="2268" w:right="0" w:firstLine="0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925"/>
    <w:next w:val="925"/>
    <w:uiPriority w:val="99"/>
    <w:unhideWhenUsed/>
    <w:pPr>
      <w:spacing w:after="0" w:afterAutospacing="0"/>
    </w:pPr>
  </w:style>
  <w:style w:type="paragraph" w:styleId="925" w:default="1">
    <w:name w:val="Normal"/>
    <w:qFormat/>
  </w:style>
  <w:style w:type="table" w:styleId="9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7" w:default="1">
    <w:name w:val="No List"/>
    <w:uiPriority w:val="99"/>
    <w:semiHidden/>
    <w:unhideWhenUsed/>
  </w:style>
  <w:style w:type="paragraph" w:styleId="928">
    <w:name w:val="No Spacing"/>
    <w:basedOn w:val="925"/>
    <w:uiPriority w:val="1"/>
    <w:qFormat/>
    <w:pPr>
      <w:spacing w:after="0" w:line="240" w:lineRule="auto"/>
    </w:pPr>
  </w:style>
  <w:style w:type="paragraph" w:styleId="929">
    <w:name w:val="List Paragraph"/>
    <w:basedOn w:val="925"/>
    <w:uiPriority w:val="34"/>
    <w:qFormat/>
    <w:pPr>
      <w:contextualSpacing/>
      <w:ind w:left="720"/>
    </w:pPr>
  </w:style>
  <w:style w:type="character" w:styleId="93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data.stat.gov.rs/Home/Result/3104020801?languageCode=sr-Latn" TargetMode="External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2025-01-27T20:29:27Z</dcterms:modified>
</cp:coreProperties>
</file>